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5D" w:rsidRPr="00157C5D" w:rsidRDefault="00157C5D" w:rsidP="00157C5D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bookmarkStart w:id="0" w:name="_GoBack"/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Tercer Protocolo Adicional</w:t>
      </w:r>
    </w:p>
    <w:bookmarkEnd w:id="0"/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Los Plenipotenciarios de la República de Chile y de la República de Venezuela, acreditados por sus respectivos Gobiernos según poderes que fueron otorgados en buena y debida forma, depositados oportunamente en la Secretaría General de la Asociación,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CONSIDERANDO,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Que de conformidad con lo dispuesto en el Artículo 6 del Acuerdo de Complementación Económica </w:t>
      </w:r>
      <w:proofErr w:type="spell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Nº</w:t>
      </w:r>
      <w:proofErr w:type="spell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23, los países signatarios pueden convenir programas especiales para incorporar los productos contenidos en el Anexo 3 al Programa de Liberación del Acuerdo.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CONVIENEN: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Artículo 1º -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 Establecer un programa especial de desgravación para los productos comprendidos en las listas de excepciones al programa de liberación del Acuerdo de Complementación Económica </w:t>
      </w:r>
      <w:proofErr w:type="spell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Nº</w:t>
      </w:r>
      <w:proofErr w:type="spell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23, incluidos en el Anexo 3 de dicho Acuerdo, en los términos y condiciones que se registran en </w:t>
      </w:r>
      <w:hyperlink r:id="rId5" w:anchor="anexo" w:history="1">
        <w:r w:rsidRPr="00157C5D">
          <w:rPr>
            <w:rFonts w:ascii="Arial" w:eastAsia="Times New Roman" w:hAnsi="Arial" w:cs="Arial"/>
            <w:color w:val="4275B4"/>
            <w:sz w:val="18"/>
            <w:szCs w:val="18"/>
            <w:u w:val="single"/>
            <w:lang w:eastAsia="es-CL"/>
          </w:rPr>
          <w:t>Anexo</w:t>
        </w:r>
      </w:hyperlink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a este Protocolo.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Artículo 2º -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 Si en algún caso, por aplicación de los cronogramas de desgravación establecidos en el presente Protocolo, resultara un tratamiento arancelario menos favorable que el otorgado por los países signatarios en el Anexo 3 del Acuerdo de Complementación Económica </w:t>
      </w:r>
      <w:proofErr w:type="spell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Nº</w:t>
      </w:r>
      <w:proofErr w:type="spell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23, los productos de que se trate continuarán beneficiándose de la preferencia establecida en el referido Anexo 3, hasta el momento en que las preferencias correspondientes a dichos cronogramas resulten superiores.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Artículo 3º -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 Las disposiciones contenidas en el Acuerdo de Complementación Económica </w:t>
      </w:r>
      <w:proofErr w:type="spell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Nº</w:t>
      </w:r>
      <w:proofErr w:type="spell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23, referidas al Anexo 3 de dicho Acuerdo, quedan modificadas conforme a lo establecido en el Artículo 1º del presente Protocolo.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Artículo 4º -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Si en cualquier momento, un país signatario reduce sus gravámenes arancelarios a terceros países para uno o varios productos comprendidos en este Protocolo, procederá a ajustar el gravamen aplicable al comercio recíproco, según las proporcionalidades establecidas de conformidad con lo dispuesto en el Artículo 1º. 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Artículo 5º -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El presente Protocolo regirá a partir de la fecha en que los países signatarios lo hayan incorporado a sus respectivos ordenamientos jurídicos internos.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La Secretaría General de la Asociación será depositaria del presente Protocolo, del cual enviará copias debidamente autenticadas a los Gobiernos signatarios.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EN FE DE LO CUAL,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los respectivos Plenipotenciarios suscriben el presente Protocolo en la ciudad de Montevideo, el primer día del mes de setiembre de mil novecientos noventa y ocho, en un original en los idiomas español y portugués, siendo ambos textos igualmente válidos.</w:t>
      </w:r>
    </w:p>
    <w:p w:rsidR="00157C5D" w:rsidRPr="00157C5D" w:rsidRDefault="00157C5D" w:rsidP="0015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7C5D"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5" style="width:633.6pt;height:.75pt" o:hrpct="400" o:hralign="center" o:hrstd="t" o:hrnoshade="t" o:hr="t" fillcolor="#5c635b" stroked="f"/>
        </w:pic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bookmarkStart w:id="1" w:name="anexo"/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ANEXO</w:t>
      </w:r>
      <w:bookmarkEnd w:id="1"/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PROGRAMA DE LIBERACIÓN PARA LOS </w:t>
      </w: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br/>
        <w:t>PRODUCTOS COMPRENDIDOS EN EL ANEXO 3 DEL </w:t>
      </w: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br/>
        <w:t xml:space="preserve">ACUERDO DE COMPLEMENTACION ECONOMICA </w:t>
      </w:r>
      <w:proofErr w:type="spellStart"/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Nº</w:t>
      </w:r>
      <w:proofErr w:type="spellEnd"/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 xml:space="preserve"> 23</w: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Los productos que se registran en el presente anexo estarán sujetos al régimen de desgravación acordado por los países signatarios de conformidad con lo establecido en las Actas de la V y VI Reunión de la Comisión Administradora del Acuerdo de Complementación Económica </w:t>
      </w:r>
      <w:proofErr w:type="spell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Nº</w:t>
      </w:r>
      <w:proofErr w:type="spell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23 de fecha 04/05 de diciembre de 1997 y </w:t>
      </w: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lastRenderedPageBreak/>
        <w:t>10/11 de marzo de 1998, respectivamente, mediante la reducción del arancel de importación, en las condiciones que se establecen a continuación: </w:t>
      </w:r>
    </w:p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A) Productos con desgravación a 5 años</w:t>
      </w:r>
    </w:p>
    <w:p w:rsidR="00157C5D" w:rsidRPr="00157C5D" w:rsidRDefault="00157C5D" w:rsidP="00157C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Chile para los productos cuyo arancel es de 11%: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34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2.2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numPr>
          <w:ilvl w:val="0"/>
          <w:numId w:val="18"/>
        </w:numPr>
        <w:shd w:val="clear" w:color="auto" w:fill="FFFFFF"/>
        <w:spacing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Por parte de Venezuela para los productos </w:t>
      </w:r>
      <w:proofErr w:type="gram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cuyo aranceles</w:t>
      </w:r>
      <w:proofErr w:type="gram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de: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430"/>
        <w:gridCol w:w="430"/>
        <w:gridCol w:w="430"/>
        <w:gridCol w:w="330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5%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br/>
      </w: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B) Productos con desgravación a 10 años.</w:t>
      </w:r>
    </w:p>
    <w:p w:rsidR="00157C5D" w:rsidRPr="00157C5D" w:rsidRDefault="00157C5D" w:rsidP="00157C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Chile para los productos cuyo arancel es de 11%.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</w:tblGrid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9.9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8.8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7.7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6.6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5.5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4.4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2,2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1,1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numPr>
          <w:ilvl w:val="0"/>
          <w:numId w:val="20"/>
        </w:numPr>
        <w:shd w:val="clear" w:color="auto" w:fill="FFFFFF"/>
        <w:spacing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Venezuela para los productos cuyo arancel es de: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430"/>
        <w:gridCol w:w="430"/>
        <w:gridCol w:w="430"/>
        <w:gridCol w:w="330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5%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lastRenderedPageBreak/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C) Productos con desgravación a 12 años.</w:t>
      </w:r>
    </w:p>
    <w:p w:rsidR="00157C5D" w:rsidRPr="00157C5D" w:rsidRDefault="00157C5D" w:rsidP="00157C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Chile para los productos cuyo arancel es de 11%: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</w:tblGrid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10,1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9,2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8,2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7,3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6,4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5,5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4,6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3,7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2,7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1,8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0,9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numPr>
          <w:ilvl w:val="0"/>
          <w:numId w:val="22"/>
        </w:numPr>
        <w:shd w:val="clear" w:color="auto" w:fill="FFFFFF"/>
        <w:spacing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Venezuela para los productos cuyo arancel es de: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397"/>
        <w:gridCol w:w="397"/>
        <w:gridCol w:w="397"/>
        <w:gridCol w:w="29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5%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2,9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2,1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D) Productos con desgravación a 14 años por parte de Chile y Venezuela, a partir del 1/1/2006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</w:tblGrid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Preferencia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Porcentual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lastRenderedPageBreak/>
              <w:t>A partir de 1/1/2006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17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33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50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67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83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E) Productos con desgravación a 15 años por parte de Chile y Venezuela, a partir del 1/1/2007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</w:tblGrid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Preferencia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Porcentual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17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33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1/1/2009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50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67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83</w:t>
            </w:r>
          </w:p>
        </w:tc>
      </w:tr>
      <w:tr w:rsidR="00157C5D" w:rsidRPr="00157C5D" w:rsidTr="00157C5D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F) Productos con desgravación a 15 años (leche en polvo, con un mínimo de 26 % de materia grasa)</w:t>
      </w:r>
    </w:p>
    <w:p w:rsidR="00157C5D" w:rsidRPr="00157C5D" w:rsidRDefault="00157C5D" w:rsidP="00157C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Chile (código arancelario 0402.21.80)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991"/>
        <w:gridCol w:w="144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Preferencia porcentual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9,9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9,35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8,25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1,1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numPr>
          <w:ilvl w:val="0"/>
          <w:numId w:val="24"/>
        </w:numPr>
        <w:shd w:val="clear" w:color="auto" w:fill="FFFFFF"/>
        <w:spacing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Venezuela (códigos arancelarios 0402.21.11 y 0402.21.19)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142"/>
        <w:gridCol w:w="1497"/>
        <w:gridCol w:w="149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Cupo anual </w:t>
            </w: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  <w:t>en toneladas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 </w:t>
            </w: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  <w:t>con cupo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 </w:t>
            </w: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br/>
              <w:t>sin cupo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3.500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4.000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4.500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5.000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6.000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7.000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8.000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9.000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lastRenderedPageBreak/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10.000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sin cupo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sin cupo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sin cupo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sin cupo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sin cupo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sin cupo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G) Productos con desgravación a 15 años (quesos, Partida 0406)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075"/>
        <w:gridCol w:w="2234"/>
        <w:gridCol w:w="2692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Preferencia porcentual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Arancel residual de Chile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Arancel residual de Venezuela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Hasta el 31/12/2001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9,35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1,65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partir de 1/1/2012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57C5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H) Productos con desgravación a 7 años (petróleo crudo)</w:t>
      </w:r>
    </w:p>
    <w:p w:rsidR="00157C5D" w:rsidRPr="00157C5D" w:rsidRDefault="00157C5D" w:rsidP="00157C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Chile, cuyo arancel es de 11% (código arancelario 2709.00.00)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44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4,1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numPr>
          <w:ilvl w:val="0"/>
          <w:numId w:val="26"/>
        </w:numPr>
        <w:shd w:val="clear" w:color="auto" w:fill="FFFFFF"/>
        <w:spacing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Venezuela, cuyo arancel es de 10% (código arancelario 2709.00.00)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44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lastRenderedPageBreak/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I) Productos con desgravación a 9 años (derivados del petróleo, incluido el propano y butano)</w:t>
      </w:r>
    </w:p>
    <w:p w:rsidR="00157C5D" w:rsidRPr="00157C5D" w:rsidRDefault="00157C5D" w:rsidP="00157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Chile, cuyo arancel es de 11% (códigos arancelarios 2710.00.10 al 2711.13.00)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44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1,1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numPr>
          <w:ilvl w:val="0"/>
          <w:numId w:val="28"/>
        </w:numPr>
        <w:shd w:val="clear" w:color="auto" w:fill="FFFFFF"/>
        <w:spacing w:beforeAutospacing="1" w:after="100" w:afterAutospacing="1" w:line="240" w:lineRule="auto"/>
        <w:ind w:left="102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Por parte de Venezuela (códigos arancelarios 2710.00.11 al 2711.13.00), cuyo arancel es de: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374"/>
        <w:gridCol w:w="487"/>
        <w:gridCol w:w="487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15%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Arancel residual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10,5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3,0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lang w:eastAsia="es-CL"/>
        </w:rPr>
        <w:t>J) Productos con desgravación a 10 años por parte de Chile (polietileno, códigos arancelarios 3901.10.00 y 3901.20.00, y los demás policloruros de vinilo, códigos arancelarios 3904.21.00 y 3904.22.00)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2373"/>
        <w:gridCol w:w="2203"/>
      </w:tblGrid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 con cupo </w:t>
            </w:r>
            <w:hyperlink r:id="rId6" w:anchor="aster" w:history="1">
              <w:r w:rsidRPr="00157C5D">
                <w:rPr>
                  <w:rFonts w:ascii="Times New Roman" w:eastAsia="Times New Roman" w:hAnsi="Times New Roman" w:cs="Times New Roman"/>
                  <w:b/>
                  <w:bCs/>
                  <w:color w:val="4275B4"/>
                  <w:sz w:val="20"/>
                  <w:szCs w:val="20"/>
                  <w:u w:val="single"/>
                  <w:vertAlign w:val="superscript"/>
                  <w:lang w:eastAsia="es-CL"/>
                </w:rPr>
                <w:t>*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Arancel residual sin cupo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Hasta el 31/12/1998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9,9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8,8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7,7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6,6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5,5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4,4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3,3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2,2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1,1</w:t>
            </w:r>
          </w:p>
        </w:tc>
      </w:tr>
      <w:tr w:rsidR="00157C5D" w:rsidRPr="00157C5D" w:rsidTr="00157C5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partir de 1/1/2007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C5D" w:rsidRPr="00157C5D" w:rsidRDefault="00157C5D" w:rsidP="001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57C5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0</w:t>
            </w:r>
          </w:p>
        </w:tc>
      </w:tr>
    </w:tbl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</w:t>
      </w:r>
    </w:p>
    <w:p w:rsidR="00157C5D" w:rsidRPr="00157C5D" w:rsidRDefault="00157C5D" w:rsidP="0015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7C5D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pict>
          <v:rect id="_x0000_i1026" style="width:11in;height:.75pt" o:hrpct="500" o:hrstd="t" o:hrnoshade="t" o:hr="t" fillcolor="#5c635b" stroked="f"/>
        </w:pict>
      </w:r>
    </w:p>
    <w:p w:rsidR="00157C5D" w:rsidRPr="00157C5D" w:rsidRDefault="00157C5D" w:rsidP="0015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bookmarkStart w:id="2" w:name="aster"/>
      <w:r w:rsidRPr="00157C5D">
        <w:rPr>
          <w:rFonts w:ascii="Arial" w:eastAsia="Times New Roman" w:hAnsi="Arial" w:cs="Arial"/>
          <w:b/>
          <w:bCs/>
          <w:color w:val="5C635B"/>
          <w:sz w:val="18"/>
          <w:szCs w:val="18"/>
          <w:vertAlign w:val="superscript"/>
          <w:lang w:eastAsia="es-CL"/>
        </w:rPr>
        <w:t>*</w:t>
      </w:r>
      <w:bookmarkEnd w:id="2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 Los cupos preferenciales rigen hasta el 31/12/2001 en las siguientes condiciones:</w:t>
      </w:r>
    </w:p>
    <w:p w:rsidR="00157C5D" w:rsidRPr="00157C5D" w:rsidRDefault="00157C5D" w:rsidP="00157C5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20.000 toneladas anuales en conjunto para los productos "polietileno de densidad inferior a 0,94" (código arancelario 3901.10.00) y "polietileno de densidad superior o igual a 0,94 del alto peso molecular con índice de fluidez inferior a 0,20 </w:t>
      </w:r>
      <w:proofErr w:type="spell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grs</w:t>
      </w:r>
      <w:proofErr w:type="spell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/10 min. determinado </w:t>
      </w:r>
      <w:proofErr w:type="gramStart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de acuerdo a</w:t>
      </w:r>
      <w:proofErr w:type="gramEnd"/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 xml:space="preserve"> la norma ASTM D-1238-90 b, condición 190/2.16"(código arancelario 3901.20.00);</w:t>
      </w:r>
    </w:p>
    <w:p w:rsidR="00157C5D" w:rsidRPr="00157C5D" w:rsidRDefault="00157C5D" w:rsidP="00157C5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500 toneladas anuales para el producto "los demás policloruros de vinilo sin plastificar" (código arancelario 3904.21.00), y</w:t>
      </w:r>
    </w:p>
    <w:p w:rsidR="00157C5D" w:rsidRPr="00157C5D" w:rsidRDefault="00157C5D" w:rsidP="00157C5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C635B"/>
          <w:sz w:val="18"/>
          <w:szCs w:val="18"/>
          <w:lang w:eastAsia="es-CL"/>
        </w:rPr>
      </w:pPr>
      <w:r w:rsidRPr="00157C5D">
        <w:rPr>
          <w:rFonts w:ascii="Arial" w:eastAsia="Times New Roman" w:hAnsi="Arial" w:cs="Arial"/>
          <w:color w:val="5C635B"/>
          <w:sz w:val="18"/>
          <w:szCs w:val="18"/>
          <w:lang w:eastAsia="es-CL"/>
        </w:rPr>
        <w:t>1.000 toneladas anuales para el producto "los demás policloruros de vinilo plastificados" (código arancelario 3904.22.00).</w:t>
      </w:r>
    </w:p>
    <w:p w:rsidR="00EC6BB5" w:rsidRPr="00157C5D" w:rsidRDefault="00EC6BB5" w:rsidP="00157C5D"/>
    <w:sectPr w:rsidR="00EC6BB5" w:rsidRPr="00157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4F"/>
    <w:multiLevelType w:val="multilevel"/>
    <w:tmpl w:val="B28A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F000E"/>
    <w:multiLevelType w:val="multilevel"/>
    <w:tmpl w:val="ABD0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F7EE5"/>
    <w:multiLevelType w:val="multilevel"/>
    <w:tmpl w:val="D61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4040C"/>
    <w:multiLevelType w:val="multilevel"/>
    <w:tmpl w:val="CDB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C17C0"/>
    <w:multiLevelType w:val="multilevel"/>
    <w:tmpl w:val="BC8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A113D"/>
    <w:multiLevelType w:val="multilevel"/>
    <w:tmpl w:val="E80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2270B"/>
    <w:multiLevelType w:val="multilevel"/>
    <w:tmpl w:val="328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921C5"/>
    <w:multiLevelType w:val="multilevel"/>
    <w:tmpl w:val="66E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A1AF9"/>
    <w:multiLevelType w:val="multilevel"/>
    <w:tmpl w:val="0F5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03F7F"/>
    <w:multiLevelType w:val="multilevel"/>
    <w:tmpl w:val="72F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76943"/>
    <w:multiLevelType w:val="multilevel"/>
    <w:tmpl w:val="FD3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26F0A"/>
    <w:multiLevelType w:val="multilevel"/>
    <w:tmpl w:val="54941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C49C0"/>
    <w:multiLevelType w:val="multilevel"/>
    <w:tmpl w:val="13F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E7C58"/>
    <w:multiLevelType w:val="multilevel"/>
    <w:tmpl w:val="3F0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E1D21"/>
    <w:multiLevelType w:val="multilevel"/>
    <w:tmpl w:val="672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84976"/>
    <w:multiLevelType w:val="multilevel"/>
    <w:tmpl w:val="0272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C3214"/>
    <w:multiLevelType w:val="multilevel"/>
    <w:tmpl w:val="C04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B2369"/>
    <w:multiLevelType w:val="multilevel"/>
    <w:tmpl w:val="4A2C1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3274B"/>
    <w:multiLevelType w:val="multilevel"/>
    <w:tmpl w:val="4DB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0663C"/>
    <w:multiLevelType w:val="multilevel"/>
    <w:tmpl w:val="C64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E0E7E"/>
    <w:multiLevelType w:val="multilevel"/>
    <w:tmpl w:val="631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D3E1C"/>
    <w:multiLevelType w:val="multilevel"/>
    <w:tmpl w:val="ED5A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51DD9"/>
    <w:multiLevelType w:val="multilevel"/>
    <w:tmpl w:val="854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977A2"/>
    <w:multiLevelType w:val="multilevel"/>
    <w:tmpl w:val="AE7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46FF2"/>
    <w:multiLevelType w:val="multilevel"/>
    <w:tmpl w:val="DDF82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C19EE"/>
    <w:multiLevelType w:val="multilevel"/>
    <w:tmpl w:val="01C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61763"/>
    <w:multiLevelType w:val="multilevel"/>
    <w:tmpl w:val="D90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16298"/>
    <w:multiLevelType w:val="multilevel"/>
    <w:tmpl w:val="51F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B3EF7"/>
    <w:multiLevelType w:val="multilevel"/>
    <w:tmpl w:val="9BF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13"/>
  </w:num>
  <w:num w:numId="5">
    <w:abstractNumId w:val="0"/>
  </w:num>
  <w:num w:numId="6">
    <w:abstractNumId w:val="19"/>
  </w:num>
  <w:num w:numId="7">
    <w:abstractNumId w:val="5"/>
  </w:num>
  <w:num w:numId="8">
    <w:abstractNumId w:val="28"/>
  </w:num>
  <w:num w:numId="9">
    <w:abstractNumId w:val="18"/>
  </w:num>
  <w:num w:numId="10">
    <w:abstractNumId w:val="7"/>
  </w:num>
  <w:num w:numId="11">
    <w:abstractNumId w:val="17"/>
  </w:num>
  <w:num w:numId="12">
    <w:abstractNumId w:val="24"/>
  </w:num>
  <w:num w:numId="13">
    <w:abstractNumId w:val="11"/>
  </w:num>
  <w:num w:numId="14">
    <w:abstractNumId w:val="4"/>
  </w:num>
  <w:num w:numId="15">
    <w:abstractNumId w:val="21"/>
  </w:num>
  <w:num w:numId="16">
    <w:abstractNumId w:val="1"/>
  </w:num>
  <w:num w:numId="17">
    <w:abstractNumId w:val="16"/>
  </w:num>
  <w:num w:numId="18">
    <w:abstractNumId w:val="27"/>
  </w:num>
  <w:num w:numId="19">
    <w:abstractNumId w:val="12"/>
  </w:num>
  <w:num w:numId="20">
    <w:abstractNumId w:val="20"/>
  </w:num>
  <w:num w:numId="21">
    <w:abstractNumId w:val="14"/>
  </w:num>
  <w:num w:numId="22">
    <w:abstractNumId w:val="22"/>
  </w:num>
  <w:num w:numId="23">
    <w:abstractNumId w:val="26"/>
  </w:num>
  <w:num w:numId="24">
    <w:abstractNumId w:val="10"/>
  </w:num>
  <w:num w:numId="25">
    <w:abstractNumId w:val="25"/>
  </w:num>
  <w:num w:numId="26">
    <w:abstractNumId w:val="8"/>
  </w:num>
  <w:num w:numId="27">
    <w:abstractNumId w:val="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A"/>
    <w:rsid w:val="0004682C"/>
    <w:rsid w:val="000473CE"/>
    <w:rsid w:val="00150129"/>
    <w:rsid w:val="00157C5D"/>
    <w:rsid w:val="001612FF"/>
    <w:rsid w:val="00161EF8"/>
    <w:rsid w:val="00175542"/>
    <w:rsid w:val="001D536B"/>
    <w:rsid w:val="00205E28"/>
    <w:rsid w:val="00264FD3"/>
    <w:rsid w:val="002B0C3A"/>
    <w:rsid w:val="00302D35"/>
    <w:rsid w:val="00351F62"/>
    <w:rsid w:val="003938BA"/>
    <w:rsid w:val="0040051E"/>
    <w:rsid w:val="00442A58"/>
    <w:rsid w:val="004B6EF4"/>
    <w:rsid w:val="00524256"/>
    <w:rsid w:val="00587BF1"/>
    <w:rsid w:val="006B37F8"/>
    <w:rsid w:val="007A15D5"/>
    <w:rsid w:val="00810F37"/>
    <w:rsid w:val="00833B1B"/>
    <w:rsid w:val="00850C34"/>
    <w:rsid w:val="00851E3C"/>
    <w:rsid w:val="008543E0"/>
    <w:rsid w:val="00882C50"/>
    <w:rsid w:val="008B5FCA"/>
    <w:rsid w:val="00930E2A"/>
    <w:rsid w:val="009743CB"/>
    <w:rsid w:val="009D4E9F"/>
    <w:rsid w:val="009F1288"/>
    <w:rsid w:val="00A71A93"/>
    <w:rsid w:val="00A942FE"/>
    <w:rsid w:val="00A96412"/>
    <w:rsid w:val="00AD02DD"/>
    <w:rsid w:val="00AE089B"/>
    <w:rsid w:val="00AE40EB"/>
    <w:rsid w:val="00B514F5"/>
    <w:rsid w:val="00B6064C"/>
    <w:rsid w:val="00C35D3C"/>
    <w:rsid w:val="00C37C88"/>
    <w:rsid w:val="00C67738"/>
    <w:rsid w:val="00C82B96"/>
    <w:rsid w:val="00D372A9"/>
    <w:rsid w:val="00D475C6"/>
    <w:rsid w:val="00DA4ACB"/>
    <w:rsid w:val="00EA1B07"/>
    <w:rsid w:val="00EC6BB5"/>
    <w:rsid w:val="00ED0C1E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0C14-66C3-429D-8F73-12A1804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intitle">
    <w:name w:val="maintitle"/>
    <w:basedOn w:val="Normal"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aintext">
    <w:name w:val="maintext"/>
    <w:basedOn w:val="Normal"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B0C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aintextbold">
    <w:name w:val="maintextbold"/>
    <w:basedOn w:val="Fuentedeprrafopredeter"/>
    <w:rsid w:val="002B0C3A"/>
  </w:style>
  <w:style w:type="numbering" w:customStyle="1" w:styleId="Sinlista1">
    <w:name w:val="Sin lista1"/>
    <w:next w:val="Sinlista"/>
    <w:uiPriority w:val="99"/>
    <w:semiHidden/>
    <w:unhideWhenUsed/>
    <w:rsid w:val="00442A58"/>
  </w:style>
  <w:style w:type="paragraph" w:customStyle="1" w:styleId="msonormal0">
    <w:name w:val="msonormal"/>
    <w:basedOn w:val="Normal"/>
    <w:rsid w:val="0044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A58"/>
    <w:rPr>
      <w:color w:val="800080"/>
      <w:u w:val="single"/>
    </w:rPr>
  </w:style>
  <w:style w:type="character" w:customStyle="1" w:styleId="maintext1">
    <w:name w:val="maintext1"/>
    <w:basedOn w:val="Fuentedeprrafopredeter"/>
    <w:rsid w:val="00442A58"/>
  </w:style>
  <w:style w:type="paragraph" w:styleId="Textodeglobo">
    <w:name w:val="Balloon Text"/>
    <w:basedOn w:val="Normal"/>
    <w:link w:val="TextodegloboCar"/>
    <w:uiPriority w:val="99"/>
    <w:semiHidden/>
    <w:unhideWhenUsed/>
    <w:rsid w:val="008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4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79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ce.oas.org/Trade/chiven/chven_p3.asp" TargetMode="External"/><Relationship Id="rId5" Type="http://schemas.openxmlformats.org/officeDocument/2006/relationships/hyperlink" Target="http://www.sice.oas.org/Trade/chiven/chven_p3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1580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NASCHDA OSIADACZ</dc:creator>
  <cp:keywords/>
  <dc:description/>
  <cp:lastModifiedBy>NASCHDA OSIADACZ</cp:lastModifiedBy>
  <cp:revision>2</cp:revision>
  <cp:lastPrinted>2020-04-17T18:54:00Z</cp:lastPrinted>
  <dcterms:created xsi:type="dcterms:W3CDTF">2020-06-05T21:41:00Z</dcterms:created>
  <dcterms:modified xsi:type="dcterms:W3CDTF">2020-06-05T21:41:00Z</dcterms:modified>
</cp:coreProperties>
</file>